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3D" w:rsidRDefault="0037763D" w:rsidP="0037763D">
      <w:pPr>
        <w:spacing w:before="240" w:after="0"/>
        <w:jc w:val="center"/>
        <w:rPr>
          <w:rFonts w:eastAsia="Arial Narrow"/>
          <w:b/>
          <w:bCs/>
          <w:szCs w:val="28"/>
          <w:rtl/>
        </w:rPr>
      </w:pPr>
      <w:r w:rsidRPr="00BE2C5D">
        <w:rPr>
          <w:rFonts w:eastAsia="Arial Narrow" w:hint="cs"/>
          <w:b/>
          <w:bCs/>
          <w:szCs w:val="28"/>
          <w:rtl/>
        </w:rPr>
        <w:t>ارزیابی ریسک به روش</w:t>
      </w:r>
      <w:r>
        <w:rPr>
          <w:rFonts w:eastAsia="Arial Narrow" w:hint="cs"/>
          <w:b/>
          <w:bCs/>
          <w:szCs w:val="28"/>
          <w:rtl/>
        </w:rPr>
        <w:t xml:space="preserve"> </w:t>
      </w:r>
      <w:r w:rsidRPr="00BE2C5D">
        <w:rPr>
          <w:rFonts w:eastAsia="Arial Narrow"/>
          <w:b/>
          <w:bCs/>
          <w:szCs w:val="28"/>
        </w:rPr>
        <w:t>JHA</w:t>
      </w:r>
      <w:r>
        <w:rPr>
          <w:rFonts w:eastAsia="Arial Narrow"/>
          <w:b/>
          <w:bCs/>
          <w:szCs w:val="28"/>
        </w:rPr>
        <w:t>(JSA)</w:t>
      </w:r>
      <w:r>
        <w:rPr>
          <w:rFonts w:eastAsia="Arial Narrow" w:hint="cs"/>
          <w:b/>
          <w:bCs/>
          <w:szCs w:val="28"/>
          <w:rtl/>
        </w:rPr>
        <w:t xml:space="preserve"> و</w:t>
      </w:r>
      <w:r w:rsidRPr="00BE2C5D">
        <w:rPr>
          <w:rFonts w:eastAsia="Arial Narrow" w:hint="cs"/>
          <w:b/>
          <w:bCs/>
          <w:szCs w:val="28"/>
          <w:rtl/>
        </w:rPr>
        <w:t xml:space="preserve"> </w:t>
      </w:r>
      <w:r w:rsidRPr="00BE2C5D">
        <w:rPr>
          <w:rFonts w:eastAsia="Arial Narrow"/>
          <w:b/>
          <w:bCs/>
          <w:szCs w:val="28"/>
        </w:rPr>
        <w:t>FMEA</w:t>
      </w:r>
    </w:p>
    <w:p w:rsidR="00611DD1" w:rsidRDefault="00611DD1" w:rsidP="0037763D">
      <w:pPr>
        <w:rPr>
          <w:rFonts w:hint="cs"/>
          <w:rtl/>
        </w:rPr>
      </w:pPr>
    </w:p>
    <w:p w:rsidR="0037763D" w:rsidRPr="00A86912" w:rsidRDefault="0037763D" w:rsidP="0037763D">
      <w:pPr>
        <w:spacing w:before="240" w:after="0" w:line="240" w:lineRule="auto"/>
        <w:jc w:val="lowKashida"/>
        <w:rPr>
          <w:rFonts w:eastAsia="Arial Narrow"/>
          <w:sz w:val="22"/>
          <w:rtl/>
        </w:rPr>
      </w:pPr>
      <w:r w:rsidRPr="00A86912">
        <w:rPr>
          <w:rFonts w:eastAsia="Arial Narrow" w:hint="cs"/>
          <w:b/>
          <w:bCs/>
          <w:sz w:val="22"/>
          <w:rtl/>
        </w:rPr>
        <w:t>الف) شدت ریسک</w:t>
      </w:r>
      <w:r w:rsidRPr="00A86912">
        <w:rPr>
          <w:rFonts w:eastAsia="Arial Narrow" w:hint="cs"/>
          <w:sz w:val="22"/>
          <w:rtl/>
        </w:rPr>
        <w:t xml:space="preserve"> می تواند بر 4 گروه هدف ( دارایی ها و سرمایه، انسان، شهرت و اعتبار و محیط زیست ) تأثیر گذار باشد. در جدول فوق شدت خطر حوادث گونا</w:t>
      </w:r>
      <w:bookmarkStart w:id="0" w:name="_GoBack"/>
      <w:bookmarkEnd w:id="0"/>
      <w:r w:rsidRPr="00A86912">
        <w:rPr>
          <w:rFonts w:eastAsia="Arial Narrow" w:hint="cs"/>
          <w:sz w:val="22"/>
          <w:rtl/>
        </w:rPr>
        <w:t xml:space="preserve">گون عنوان شده است : </w:t>
      </w:r>
    </w:p>
    <w:p w:rsidR="0037763D" w:rsidRPr="00A86912" w:rsidRDefault="0037763D" w:rsidP="0037763D">
      <w:pPr>
        <w:spacing w:before="240" w:after="0"/>
        <w:jc w:val="center"/>
        <w:rPr>
          <w:sz w:val="22"/>
          <w:rtl/>
        </w:rPr>
      </w:pPr>
      <w:r w:rsidRPr="00A86912">
        <w:rPr>
          <w:rFonts w:hint="cs"/>
          <w:b/>
          <w:bCs/>
          <w:sz w:val="22"/>
          <w:rtl/>
        </w:rPr>
        <w:t>جدول محاسبه امتیاز شدت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258"/>
        <w:gridCol w:w="989"/>
      </w:tblGrid>
      <w:tr w:rsidR="0037763D" w:rsidRPr="00A86912" w:rsidTr="00D86F78">
        <w:trPr>
          <w:trHeight w:val="51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787469" w:rsidRDefault="0037763D" w:rsidP="00D86F78">
            <w:pPr>
              <w:spacing w:after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787469">
              <w:rPr>
                <w:rFonts w:hint="cs"/>
                <w:b/>
                <w:bCs/>
                <w:sz w:val="20"/>
                <w:szCs w:val="22"/>
                <w:rtl/>
              </w:rPr>
              <w:t>شاخص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787469" w:rsidRDefault="0037763D" w:rsidP="00D86F78">
            <w:pPr>
              <w:spacing w:after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787469">
              <w:rPr>
                <w:rFonts w:hint="cs"/>
                <w:b/>
                <w:bCs/>
                <w:sz w:val="20"/>
                <w:szCs w:val="22"/>
                <w:rtl/>
              </w:rPr>
              <w:t>شدت اثرات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787469" w:rsidRDefault="0037763D" w:rsidP="00D86F78">
            <w:pPr>
              <w:spacing w:after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787469">
              <w:rPr>
                <w:rFonts w:hint="cs"/>
                <w:b/>
                <w:bCs/>
                <w:sz w:val="20"/>
                <w:szCs w:val="22"/>
                <w:rtl/>
              </w:rPr>
              <w:t>اثرات</w:t>
            </w:r>
          </w:p>
        </w:tc>
      </w:tr>
      <w:tr w:rsidR="0037763D" w:rsidRPr="00A86912" w:rsidTr="00D86F78">
        <w:trPr>
          <w:trHeight w:val="33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10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787469" w:rsidRDefault="0037763D" w:rsidP="00D86F78">
            <w:pPr>
              <w:spacing w:after="0"/>
              <w:jc w:val="both"/>
              <w:rPr>
                <w:sz w:val="22"/>
              </w:rPr>
            </w:pPr>
            <w:r w:rsidRPr="00787469">
              <w:rPr>
                <w:rFonts w:hint="cs"/>
                <w:sz w:val="22"/>
                <w:rtl/>
              </w:rPr>
              <w:t>مرگ و مير افراد و از بين رفتن كل سيستم و در بر داشتن هزينه هايي معادل يكصد تا پنجاه ميليون تومان براي سيستم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787469" w:rsidRDefault="0037763D" w:rsidP="00D86F78">
            <w:pPr>
              <w:spacing w:after="0"/>
              <w:jc w:val="center"/>
              <w:rPr>
                <w:b/>
                <w:bCs/>
                <w:sz w:val="20"/>
                <w:szCs w:val="22"/>
              </w:rPr>
            </w:pPr>
            <w:r w:rsidRPr="00787469">
              <w:rPr>
                <w:rFonts w:hint="cs"/>
                <w:b/>
                <w:bCs/>
                <w:sz w:val="20"/>
                <w:szCs w:val="22"/>
                <w:rtl/>
              </w:rPr>
              <w:t>فاجعه بار</w:t>
            </w:r>
          </w:p>
        </w:tc>
      </w:tr>
      <w:tr w:rsidR="0037763D" w:rsidRPr="00A86912" w:rsidTr="00D86F7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787469" w:rsidRDefault="0037763D" w:rsidP="00D86F78">
            <w:pPr>
              <w:spacing w:after="0"/>
              <w:jc w:val="both"/>
              <w:rPr>
                <w:sz w:val="22"/>
              </w:rPr>
            </w:pPr>
            <w:r w:rsidRPr="00787469">
              <w:rPr>
                <w:rFonts w:hint="cs"/>
                <w:sz w:val="22"/>
                <w:rtl/>
              </w:rPr>
              <w:t xml:space="preserve">بيماري ها و جراحت هاي كشنده و سرطان هاي شغلي و در بر داشتن هزينه هايي معادل پنجاه تا بیست ميليون تومان براي سيستم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787469" w:rsidRDefault="0037763D" w:rsidP="00D86F78">
            <w:pPr>
              <w:spacing w:after="0"/>
              <w:jc w:val="center"/>
              <w:rPr>
                <w:b/>
                <w:bCs/>
                <w:sz w:val="20"/>
                <w:szCs w:val="22"/>
              </w:rPr>
            </w:pPr>
            <w:r w:rsidRPr="00787469">
              <w:rPr>
                <w:rFonts w:hint="cs"/>
                <w:b/>
                <w:bCs/>
                <w:sz w:val="20"/>
                <w:szCs w:val="22"/>
                <w:rtl/>
              </w:rPr>
              <w:t>خطرناك</w:t>
            </w:r>
          </w:p>
        </w:tc>
      </w:tr>
      <w:tr w:rsidR="0037763D" w:rsidRPr="00A86912" w:rsidTr="00D86F78">
        <w:trPr>
          <w:trHeight w:val="67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787469" w:rsidRDefault="0037763D" w:rsidP="00D86F78">
            <w:pPr>
              <w:spacing w:after="0"/>
              <w:jc w:val="both"/>
              <w:rPr>
                <w:sz w:val="22"/>
              </w:rPr>
            </w:pPr>
            <w:r w:rsidRPr="00787469">
              <w:rPr>
                <w:rFonts w:hint="cs"/>
                <w:sz w:val="22"/>
                <w:rtl/>
              </w:rPr>
              <w:t>شكستگي هاي بزرگ و قطع عضو و جراحت هاي متعدد و مسموميت هاي شديد ناشي از بخارات، گازها و گرد و غبار سمي و بيماري هايي كه منجر به كاهش عمر مي شود و در بر داشتن هزينه هايي معادل بيست تا پنج ميليون تومان براي سيستم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787469" w:rsidRDefault="0037763D" w:rsidP="00D86F78">
            <w:pPr>
              <w:spacing w:after="0"/>
              <w:jc w:val="center"/>
              <w:rPr>
                <w:b/>
                <w:bCs/>
                <w:sz w:val="20"/>
                <w:szCs w:val="22"/>
              </w:rPr>
            </w:pPr>
            <w:r w:rsidRPr="00787469">
              <w:rPr>
                <w:rFonts w:hint="cs"/>
                <w:b/>
                <w:bCs/>
                <w:sz w:val="20"/>
                <w:szCs w:val="22"/>
                <w:rtl/>
              </w:rPr>
              <w:t>خيلي شديد</w:t>
            </w:r>
          </w:p>
        </w:tc>
      </w:tr>
      <w:tr w:rsidR="0037763D" w:rsidRPr="00A86912" w:rsidTr="00D86F78">
        <w:trPr>
          <w:trHeight w:val="67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787469" w:rsidRDefault="0037763D" w:rsidP="00D86F78">
            <w:pPr>
              <w:spacing w:after="0"/>
              <w:jc w:val="both"/>
              <w:rPr>
                <w:spacing w:val="-4"/>
                <w:sz w:val="22"/>
              </w:rPr>
            </w:pPr>
            <w:r w:rsidRPr="00787469">
              <w:rPr>
                <w:rFonts w:hint="cs"/>
                <w:spacing w:val="-4"/>
                <w:sz w:val="22"/>
                <w:rtl/>
              </w:rPr>
              <w:t>سوختگي هاي شديد ناشي از حريق و برق گرفتگي، پيچ خوردگي هاي شديد، كري هاي ناشي از صداي بلند و بالاتر از خد استاندارد، كوري چشم در اثر پرتاب و برخورد ذرات و پليسه به چشم و آسم ناشي ازگرد و غبار و دربرداشتن خسارتي معادل پنج تا یک ميليون تومان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787469" w:rsidRDefault="0037763D" w:rsidP="00D86F78">
            <w:pPr>
              <w:spacing w:after="0"/>
              <w:jc w:val="center"/>
              <w:rPr>
                <w:b/>
                <w:bCs/>
                <w:sz w:val="20"/>
                <w:szCs w:val="22"/>
              </w:rPr>
            </w:pPr>
            <w:r w:rsidRPr="00787469">
              <w:rPr>
                <w:rFonts w:hint="cs"/>
                <w:b/>
                <w:bCs/>
                <w:sz w:val="20"/>
                <w:szCs w:val="22"/>
                <w:rtl/>
              </w:rPr>
              <w:t>شديد</w:t>
            </w:r>
          </w:p>
        </w:tc>
      </w:tr>
      <w:tr w:rsidR="0037763D" w:rsidRPr="00A86912" w:rsidTr="00D86F7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D" w:rsidRPr="00787469" w:rsidRDefault="0037763D" w:rsidP="00D86F78">
            <w:pPr>
              <w:spacing w:after="0"/>
              <w:jc w:val="both"/>
              <w:rPr>
                <w:sz w:val="22"/>
              </w:rPr>
            </w:pPr>
            <w:r w:rsidRPr="00787469">
              <w:rPr>
                <w:rFonts w:hint="cs"/>
                <w:sz w:val="22"/>
                <w:rtl/>
              </w:rPr>
              <w:t>آسيب هاي متوسط به افراد نظير شكستگي جزئي، اختلالات ناشي از اندام فوقاني(</w:t>
            </w:r>
            <w:r w:rsidRPr="00787469">
              <w:rPr>
                <w:sz w:val="22"/>
              </w:rPr>
              <w:t>CTD</w:t>
            </w:r>
            <w:r w:rsidRPr="00787469">
              <w:rPr>
                <w:rFonts w:hint="cs"/>
                <w:sz w:val="22"/>
                <w:rtl/>
              </w:rPr>
              <w:t>)، التهاب چشم ناشي ازگرد و غبار و بخارات و گازها و بيماري ها و آثار ناشي از گرما و سرما و در برداشتن هزينه هايي معادل یک ميليون تومان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63D" w:rsidRPr="00DC0F6F" w:rsidRDefault="0037763D" w:rsidP="00D86F78">
            <w:pPr>
              <w:spacing w:after="0"/>
              <w:jc w:val="center"/>
              <w:rPr>
                <w:b/>
                <w:bCs/>
                <w:sz w:val="20"/>
                <w:szCs w:val="22"/>
              </w:rPr>
            </w:pPr>
            <w:r w:rsidRPr="00DC0F6F">
              <w:rPr>
                <w:rFonts w:hint="cs"/>
                <w:b/>
                <w:bCs/>
                <w:sz w:val="20"/>
                <w:szCs w:val="22"/>
                <w:rtl/>
              </w:rPr>
              <w:t>متوسط</w:t>
            </w:r>
          </w:p>
        </w:tc>
      </w:tr>
      <w:tr w:rsidR="0037763D" w:rsidRPr="00A86912" w:rsidTr="00D86F7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787469" w:rsidRDefault="0037763D" w:rsidP="00D86F78">
            <w:pPr>
              <w:spacing w:after="0"/>
              <w:jc w:val="both"/>
              <w:rPr>
                <w:sz w:val="22"/>
              </w:rPr>
            </w:pPr>
            <w:r w:rsidRPr="00787469">
              <w:rPr>
                <w:rFonts w:hint="cs"/>
                <w:sz w:val="22"/>
                <w:rtl/>
              </w:rPr>
              <w:t>بيماري ها و عوارض بيولوژيكي، بيماري ها و عوارض ارگونوميكي كار، التهاب پوستي ناشي از سوختگي هاي جزئي، ناتواني موقت و زود گذر و در برداشتن خسارتي معادل پانصد هزار تومان تا دویست پنجاه هزار تومان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DC0F6F" w:rsidRDefault="0037763D" w:rsidP="00D86F78">
            <w:pPr>
              <w:spacing w:after="0"/>
              <w:jc w:val="center"/>
              <w:rPr>
                <w:b/>
                <w:bCs/>
                <w:sz w:val="20"/>
                <w:szCs w:val="22"/>
              </w:rPr>
            </w:pPr>
            <w:r w:rsidRPr="00DC0F6F">
              <w:rPr>
                <w:rFonts w:hint="cs"/>
                <w:b/>
                <w:bCs/>
                <w:sz w:val="20"/>
                <w:szCs w:val="22"/>
                <w:rtl/>
              </w:rPr>
              <w:t>پايين</w:t>
            </w:r>
          </w:p>
        </w:tc>
      </w:tr>
      <w:tr w:rsidR="0037763D" w:rsidRPr="00A86912" w:rsidTr="00D86F7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787469" w:rsidRDefault="0037763D" w:rsidP="00D86F78">
            <w:pPr>
              <w:spacing w:after="0"/>
              <w:rPr>
                <w:sz w:val="22"/>
              </w:rPr>
            </w:pPr>
            <w:r w:rsidRPr="00787469">
              <w:rPr>
                <w:rFonts w:hint="cs"/>
                <w:sz w:val="22"/>
                <w:rtl/>
              </w:rPr>
              <w:t>جراحت هاي سطحي، بريدگي و پارگي جزئي و ناراحتي و بي قراري كه در اثر كار ايجاد شده است مثل سردرد و در بر داشتن خسارتي معادل دويست و پنجاه تا یکصد و پنجاه هزار تومان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DC0F6F" w:rsidRDefault="0037763D" w:rsidP="00D86F78">
            <w:pPr>
              <w:spacing w:after="0"/>
              <w:jc w:val="center"/>
              <w:rPr>
                <w:b/>
                <w:bCs/>
                <w:sz w:val="20"/>
                <w:szCs w:val="22"/>
              </w:rPr>
            </w:pPr>
            <w:r w:rsidRPr="00DC0F6F">
              <w:rPr>
                <w:rFonts w:hint="cs"/>
                <w:b/>
                <w:bCs/>
                <w:sz w:val="20"/>
                <w:szCs w:val="22"/>
                <w:rtl/>
              </w:rPr>
              <w:t>خيلي پايين</w:t>
            </w:r>
          </w:p>
        </w:tc>
      </w:tr>
      <w:tr w:rsidR="0037763D" w:rsidRPr="00A86912" w:rsidTr="00D86F78">
        <w:trPr>
          <w:trHeight w:val="67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  <w:rtl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3</w:t>
            </w:r>
          </w:p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787469" w:rsidRDefault="0037763D" w:rsidP="00D86F78">
            <w:pPr>
              <w:spacing w:after="0"/>
              <w:rPr>
                <w:sz w:val="22"/>
              </w:rPr>
            </w:pPr>
            <w:r w:rsidRPr="00787469">
              <w:rPr>
                <w:rFonts w:hint="cs"/>
                <w:sz w:val="22"/>
                <w:rtl/>
              </w:rPr>
              <w:t>در اين مرحله آسيب هاي وارد به بدن انسان بسيار پايين است و حتي در بعضي موارد بدون آسيب مي باشد ولي خسارت به سيستم وارد مي شود زير مبلغ یکصدو پنجاه هزار تومان است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DC0F6F" w:rsidRDefault="0037763D" w:rsidP="00D86F78">
            <w:pPr>
              <w:spacing w:after="0"/>
              <w:jc w:val="center"/>
              <w:rPr>
                <w:b/>
                <w:bCs/>
                <w:sz w:val="20"/>
                <w:szCs w:val="22"/>
              </w:rPr>
            </w:pPr>
            <w:r w:rsidRPr="00DC0F6F">
              <w:rPr>
                <w:rFonts w:hint="cs"/>
                <w:b/>
                <w:bCs/>
                <w:sz w:val="20"/>
                <w:szCs w:val="22"/>
                <w:rtl/>
              </w:rPr>
              <w:t>جزئي</w:t>
            </w:r>
          </w:p>
        </w:tc>
      </w:tr>
      <w:tr w:rsidR="0037763D" w:rsidRPr="00A86912" w:rsidTr="00D86F78">
        <w:trPr>
          <w:trHeight w:val="35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787469" w:rsidRDefault="0037763D" w:rsidP="00D86F78">
            <w:pPr>
              <w:spacing w:after="0"/>
              <w:rPr>
                <w:sz w:val="22"/>
              </w:rPr>
            </w:pPr>
            <w:r w:rsidRPr="00787469">
              <w:rPr>
                <w:rFonts w:hint="cs"/>
                <w:sz w:val="22"/>
                <w:rtl/>
              </w:rPr>
              <w:t>در اين مرحله هيچ آسيب و عوارضي براي سيستم و افراد ندارد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63D" w:rsidRPr="00DC0F6F" w:rsidRDefault="0037763D" w:rsidP="00D86F78">
            <w:pPr>
              <w:spacing w:after="0"/>
              <w:jc w:val="center"/>
              <w:rPr>
                <w:b/>
                <w:bCs/>
                <w:sz w:val="20"/>
                <w:szCs w:val="22"/>
              </w:rPr>
            </w:pPr>
            <w:r w:rsidRPr="00DC0F6F">
              <w:rPr>
                <w:rFonts w:hint="cs"/>
                <w:b/>
                <w:bCs/>
                <w:sz w:val="20"/>
                <w:szCs w:val="22"/>
                <w:rtl/>
              </w:rPr>
              <w:t>بدون خطر</w:t>
            </w:r>
          </w:p>
        </w:tc>
      </w:tr>
    </w:tbl>
    <w:p w:rsidR="0037763D" w:rsidRDefault="0037763D" w:rsidP="0037763D">
      <w:pPr>
        <w:rPr>
          <w:rtl/>
        </w:rPr>
      </w:pPr>
    </w:p>
    <w:p w:rsidR="0037763D" w:rsidRDefault="0037763D" w:rsidP="0037763D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37763D" w:rsidRPr="00A86912" w:rsidRDefault="0037763D" w:rsidP="0037763D">
      <w:pPr>
        <w:rPr>
          <w:rFonts w:hint="cs"/>
          <w:b/>
          <w:bCs/>
          <w:sz w:val="22"/>
          <w:rtl/>
        </w:rPr>
      </w:pPr>
      <w:r>
        <w:rPr>
          <w:rFonts w:hint="cs"/>
          <w:b/>
          <w:bCs/>
          <w:sz w:val="22"/>
          <w:rtl/>
        </w:rPr>
        <w:lastRenderedPageBreak/>
        <w:t xml:space="preserve">ب) </w:t>
      </w:r>
      <w:r w:rsidRPr="00A86912">
        <w:rPr>
          <w:rFonts w:hint="cs"/>
          <w:b/>
          <w:bCs/>
          <w:sz w:val="22"/>
          <w:rtl/>
        </w:rPr>
        <w:t>جداول محاسبه امتیاز احتمال وقوع</w:t>
      </w:r>
      <w:r>
        <w:rPr>
          <w:rFonts w:hint="cs"/>
          <w:b/>
          <w:bCs/>
          <w:sz w:val="22"/>
          <w:rtl/>
        </w:rPr>
        <w:t xml:space="preserve"> </w:t>
      </w:r>
    </w:p>
    <w:p w:rsidR="0037763D" w:rsidRPr="00A86912" w:rsidRDefault="0037763D" w:rsidP="0037763D">
      <w:pPr>
        <w:spacing w:after="0"/>
        <w:rPr>
          <w:b/>
          <w:bCs/>
          <w:sz w:val="22"/>
          <w:rtl/>
        </w:rPr>
      </w:pPr>
      <w:r w:rsidRPr="00A86912">
        <w:rPr>
          <w:b/>
          <w:bCs/>
          <w:sz w:val="22"/>
        </w:rPr>
        <w:t>A</w:t>
      </w:r>
      <w:r w:rsidRPr="00A86912">
        <w:rPr>
          <w:rFonts w:hint="cs"/>
          <w:b/>
          <w:bCs/>
          <w:sz w:val="22"/>
          <w:rtl/>
        </w:rPr>
        <w:t xml:space="preserve">) امتیاز آمار </w:t>
      </w:r>
      <w:proofErr w:type="gramStart"/>
      <w:r w:rsidRPr="00A86912">
        <w:rPr>
          <w:rFonts w:hint="cs"/>
          <w:b/>
          <w:bCs/>
          <w:sz w:val="22"/>
          <w:rtl/>
        </w:rPr>
        <w:t>ساليانه :</w:t>
      </w:r>
      <w:proofErr w:type="gramEnd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735"/>
        <w:gridCol w:w="1743"/>
        <w:gridCol w:w="1873"/>
        <w:gridCol w:w="2072"/>
      </w:tblGrid>
      <w:tr w:rsidR="0037763D" w:rsidRPr="00A86912" w:rsidTr="00D86F78">
        <w:trPr>
          <w:trHeight w:val="559"/>
          <w:jc w:val="center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اتفاق نيافتاده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2-1 بار اتفاق افتاده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4-3 بار اتفاق افتاده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8-5 بار اتفاق افتاده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بيش از 8 بار اتفاق افتاده</w:t>
            </w:r>
          </w:p>
        </w:tc>
      </w:tr>
      <w:tr w:rsidR="0037763D" w:rsidRPr="00A86912" w:rsidTr="00D86F78">
        <w:trPr>
          <w:trHeight w:val="411"/>
          <w:jc w:val="center"/>
        </w:trPr>
        <w:tc>
          <w:tcPr>
            <w:tcW w:w="1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5</w:t>
            </w:r>
          </w:p>
        </w:tc>
      </w:tr>
    </w:tbl>
    <w:p w:rsidR="0037763D" w:rsidRPr="00A86912" w:rsidRDefault="0037763D" w:rsidP="0037763D">
      <w:pPr>
        <w:spacing w:after="0"/>
        <w:rPr>
          <w:b/>
          <w:bCs/>
          <w:sz w:val="22"/>
          <w:rtl/>
        </w:rPr>
      </w:pPr>
      <w:r w:rsidRPr="00A86912">
        <w:rPr>
          <w:b/>
          <w:bCs/>
          <w:sz w:val="22"/>
        </w:rPr>
        <w:t>B</w:t>
      </w:r>
      <w:r w:rsidRPr="00A86912">
        <w:rPr>
          <w:rFonts w:hint="cs"/>
          <w:b/>
          <w:bCs/>
          <w:sz w:val="22"/>
          <w:rtl/>
        </w:rPr>
        <w:t>) ميزان مواجهه افراد (در يك شيفت كاري</w:t>
      </w:r>
      <w:proofErr w:type="gramStart"/>
      <w:r w:rsidRPr="00A86912">
        <w:rPr>
          <w:rFonts w:hint="cs"/>
          <w:b/>
          <w:bCs/>
          <w:sz w:val="22"/>
          <w:rtl/>
        </w:rPr>
        <w:t>) :</w:t>
      </w:r>
      <w:proofErr w:type="gramEnd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797"/>
        <w:gridCol w:w="1798"/>
        <w:gridCol w:w="1798"/>
        <w:gridCol w:w="1716"/>
      </w:tblGrid>
      <w:tr w:rsidR="0037763D" w:rsidRPr="00A86912" w:rsidTr="00D86F78">
        <w:trPr>
          <w:trHeight w:val="420"/>
          <w:jc w:val="center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بالاتر از 4 ساعت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4-3 ساعت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3-2 ساعت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2-1 ساعت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كمتر از يك ساعت</w:t>
            </w:r>
          </w:p>
        </w:tc>
      </w:tr>
      <w:tr w:rsidR="0037763D" w:rsidRPr="00A86912" w:rsidTr="00D86F78">
        <w:trPr>
          <w:trHeight w:val="449"/>
          <w:jc w:val="center"/>
        </w:trPr>
        <w:tc>
          <w:tcPr>
            <w:tcW w:w="2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</w:t>
            </w:r>
          </w:p>
        </w:tc>
      </w:tr>
    </w:tbl>
    <w:p w:rsidR="0037763D" w:rsidRPr="00A86912" w:rsidRDefault="0037763D" w:rsidP="0037763D">
      <w:pPr>
        <w:spacing w:after="0"/>
        <w:rPr>
          <w:b/>
          <w:bCs/>
          <w:sz w:val="22"/>
          <w:rtl/>
        </w:rPr>
      </w:pPr>
      <w:r w:rsidRPr="00A86912">
        <w:rPr>
          <w:b/>
          <w:bCs/>
          <w:sz w:val="22"/>
        </w:rPr>
        <w:t>C</w:t>
      </w:r>
      <w:r w:rsidRPr="00A86912">
        <w:rPr>
          <w:rFonts w:hint="cs"/>
          <w:b/>
          <w:bCs/>
          <w:sz w:val="22"/>
          <w:rtl/>
        </w:rPr>
        <w:t xml:space="preserve">) تعداد افرادي كه در معرض خطر </w:t>
      </w:r>
      <w:proofErr w:type="gramStart"/>
      <w:r w:rsidRPr="00A86912">
        <w:rPr>
          <w:rFonts w:hint="cs"/>
          <w:b/>
          <w:bCs/>
          <w:sz w:val="22"/>
          <w:rtl/>
        </w:rPr>
        <w:t>هستند :</w:t>
      </w:r>
      <w:proofErr w:type="gramEnd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797"/>
        <w:gridCol w:w="1798"/>
        <w:gridCol w:w="1804"/>
        <w:gridCol w:w="1798"/>
      </w:tblGrid>
      <w:tr w:rsidR="0037763D" w:rsidRPr="00A86912" w:rsidTr="00D86F78">
        <w:trPr>
          <w:trHeight w:val="419"/>
          <w:jc w:val="center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3-1 نفر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6-3 نفر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9-6 نفر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12-9 نفر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12 نفر به بالا</w:t>
            </w:r>
          </w:p>
        </w:tc>
      </w:tr>
      <w:tr w:rsidR="0037763D" w:rsidRPr="00A86912" w:rsidTr="00D86F78">
        <w:trPr>
          <w:trHeight w:val="419"/>
          <w:jc w:val="center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5</w:t>
            </w:r>
          </w:p>
        </w:tc>
      </w:tr>
    </w:tbl>
    <w:p w:rsidR="0037763D" w:rsidRPr="00A86912" w:rsidRDefault="0037763D" w:rsidP="0037763D">
      <w:pPr>
        <w:spacing w:after="0"/>
        <w:rPr>
          <w:b/>
          <w:bCs/>
          <w:sz w:val="22"/>
          <w:rtl/>
        </w:rPr>
      </w:pPr>
      <w:r w:rsidRPr="00A86912">
        <w:rPr>
          <w:b/>
          <w:bCs/>
          <w:sz w:val="22"/>
        </w:rPr>
        <w:t>D</w:t>
      </w:r>
      <w:r w:rsidRPr="00A86912">
        <w:rPr>
          <w:rFonts w:hint="cs"/>
          <w:b/>
          <w:bCs/>
          <w:sz w:val="22"/>
          <w:rtl/>
        </w:rPr>
        <w:t xml:space="preserve">) </w:t>
      </w:r>
      <w:proofErr w:type="gramStart"/>
      <w:r w:rsidRPr="00A86912">
        <w:rPr>
          <w:rFonts w:hint="cs"/>
          <w:b/>
          <w:bCs/>
          <w:sz w:val="22"/>
          <w:rtl/>
        </w:rPr>
        <w:t>مقررات  و</w:t>
      </w:r>
      <w:proofErr w:type="gramEnd"/>
      <w:r w:rsidRPr="00A86912">
        <w:rPr>
          <w:rFonts w:hint="cs"/>
          <w:b/>
          <w:bCs/>
          <w:sz w:val="22"/>
          <w:rtl/>
        </w:rPr>
        <w:t xml:space="preserve"> الزامات قانوني: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801"/>
        <w:gridCol w:w="1777"/>
        <w:gridCol w:w="1795"/>
        <w:gridCol w:w="1838"/>
      </w:tblGrid>
      <w:tr w:rsidR="0037763D" w:rsidRPr="00A86912" w:rsidTr="00D86F78">
        <w:trPr>
          <w:trHeight w:val="424"/>
          <w:jc w:val="center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ندارد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كارفرما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ملي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بين المللي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كارفرما/بين المللي</w:t>
            </w:r>
          </w:p>
        </w:tc>
      </w:tr>
      <w:tr w:rsidR="0037763D" w:rsidRPr="00A86912" w:rsidTr="00D86F78">
        <w:trPr>
          <w:trHeight w:val="437"/>
          <w:jc w:val="center"/>
        </w:trPr>
        <w:tc>
          <w:tcPr>
            <w:tcW w:w="1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5</w:t>
            </w:r>
          </w:p>
        </w:tc>
      </w:tr>
    </w:tbl>
    <w:p w:rsidR="0037763D" w:rsidRPr="00F3588C" w:rsidRDefault="0037763D" w:rsidP="0037763D">
      <w:pPr>
        <w:spacing w:after="0"/>
        <w:rPr>
          <w:rFonts w:eastAsia="Arial Narrow"/>
          <w:sz w:val="14"/>
          <w:szCs w:val="16"/>
          <w:rtl/>
        </w:rPr>
      </w:pPr>
    </w:p>
    <w:p w:rsidR="0037763D" w:rsidRPr="00A86912" w:rsidRDefault="0037763D" w:rsidP="0037763D">
      <w:pPr>
        <w:pStyle w:val="ListParagraph"/>
        <w:spacing w:before="240" w:after="240" w:line="276" w:lineRule="auto"/>
        <w:ind w:left="-1" w:firstLine="14"/>
        <w:jc w:val="left"/>
        <w:rPr>
          <w:rFonts w:ascii="Calibri" w:hAnsi="Calibri" w:cs="B Nazanin"/>
          <w:b/>
          <w:bCs/>
          <w:color w:val="000000"/>
          <w:sz w:val="22"/>
        </w:rPr>
      </w:pPr>
      <w:r w:rsidRPr="00A86912">
        <w:rPr>
          <w:rFonts w:ascii="Calibri" w:hAnsi="Calibri" w:cs="B Nazanin"/>
          <w:b/>
          <w:bCs/>
          <w:color w:val="000000"/>
          <w:sz w:val="22"/>
        </w:rPr>
        <w:t>O=A*B*C*D</w:t>
      </w:r>
      <w:r w:rsidRPr="00A86912">
        <w:rPr>
          <w:rFonts w:ascii="Calibri" w:hAnsi="Calibri" w:cs="B Nazanin" w:hint="cs"/>
          <w:b/>
          <w:bCs/>
          <w:color w:val="000000"/>
          <w:sz w:val="22"/>
          <w:rtl/>
        </w:rPr>
        <w:t xml:space="preserve"> (احتمال وقوع</w:t>
      </w:r>
      <w:proofErr w:type="gramStart"/>
      <w:r w:rsidRPr="00A86912">
        <w:rPr>
          <w:rFonts w:ascii="Calibri" w:hAnsi="Calibri" w:cs="B Nazanin" w:hint="cs"/>
          <w:b/>
          <w:bCs/>
          <w:color w:val="000000"/>
          <w:sz w:val="22"/>
          <w:rtl/>
        </w:rPr>
        <w:t>) :</w:t>
      </w:r>
      <w:proofErr w:type="gramEnd"/>
      <w:r w:rsidRPr="00A86912">
        <w:rPr>
          <w:rFonts w:ascii="Calibri" w:hAnsi="Calibri" w:cs="B Nazanin" w:hint="cs"/>
          <w:b/>
          <w:bCs/>
          <w:color w:val="000000"/>
          <w:sz w:val="22"/>
          <w:rtl/>
        </w:rPr>
        <w:t xml:space="preserve"> عدد محاسبه شده با توجه به جدول زیر شاخص گذاری </w:t>
      </w:r>
      <w:r>
        <w:rPr>
          <w:rFonts w:ascii="Calibri" w:hAnsi="Calibri" w:cs="B Nazanin" w:hint="cs"/>
          <w:b/>
          <w:bCs/>
          <w:color w:val="000000"/>
          <w:sz w:val="22"/>
          <w:rtl/>
        </w:rPr>
        <w:t>می‌گردد</w:t>
      </w:r>
      <w:r w:rsidRPr="00A86912">
        <w:rPr>
          <w:rFonts w:ascii="Calibri" w:hAnsi="Calibri" w:cs="B Nazanin" w:hint="cs"/>
          <w:b/>
          <w:bCs/>
          <w:color w:val="000000"/>
          <w:sz w:val="22"/>
          <w:rtl/>
        </w:rPr>
        <w:t xml:space="preserve"> 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459"/>
        <w:gridCol w:w="1821"/>
      </w:tblGrid>
      <w:tr w:rsidR="0037763D" w:rsidRPr="00A86912" w:rsidTr="00D86F78">
        <w:trPr>
          <w:trHeight w:val="415"/>
          <w:jc w:val="center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شاخص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ميزان احتمال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نوع احتمال</w:t>
            </w:r>
          </w:p>
        </w:tc>
      </w:tr>
      <w:tr w:rsidR="0037763D" w:rsidRPr="00A86912" w:rsidTr="00D86F78">
        <w:trPr>
          <w:trHeight w:val="415"/>
          <w:jc w:val="center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10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625-256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خيلي بالا</w:t>
            </w:r>
          </w:p>
        </w:tc>
      </w:tr>
      <w:tr w:rsidR="0037763D" w:rsidRPr="00A86912" w:rsidTr="00D86F78">
        <w:trPr>
          <w:trHeight w:val="401"/>
          <w:jc w:val="center"/>
        </w:trPr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255-181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خيلي بالا</w:t>
            </w:r>
          </w:p>
        </w:tc>
      </w:tr>
      <w:tr w:rsidR="0037763D" w:rsidRPr="00A86912" w:rsidTr="00D86F78">
        <w:trPr>
          <w:trHeight w:val="415"/>
          <w:jc w:val="center"/>
        </w:trPr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180-82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بالا</w:t>
            </w:r>
          </w:p>
        </w:tc>
      </w:tr>
      <w:tr w:rsidR="0037763D" w:rsidRPr="00A86912" w:rsidTr="00D86F78">
        <w:trPr>
          <w:trHeight w:val="415"/>
          <w:jc w:val="center"/>
        </w:trPr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81-49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بالا</w:t>
            </w:r>
          </w:p>
        </w:tc>
      </w:tr>
      <w:tr w:rsidR="0037763D" w:rsidRPr="00A86912" w:rsidTr="00D86F78">
        <w:trPr>
          <w:trHeight w:val="401"/>
          <w:jc w:val="center"/>
        </w:trPr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48-37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متوسط</w:t>
            </w:r>
          </w:p>
        </w:tc>
      </w:tr>
      <w:tr w:rsidR="0037763D" w:rsidRPr="00A86912" w:rsidTr="00D86F78">
        <w:trPr>
          <w:trHeight w:val="415"/>
          <w:jc w:val="center"/>
        </w:trPr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36-25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متوسط</w:t>
            </w:r>
          </w:p>
        </w:tc>
      </w:tr>
      <w:tr w:rsidR="0037763D" w:rsidRPr="00A86912" w:rsidTr="00D86F78">
        <w:trPr>
          <w:trHeight w:val="415"/>
          <w:jc w:val="center"/>
        </w:trPr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24-17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متوسط</w:t>
            </w:r>
          </w:p>
        </w:tc>
      </w:tr>
      <w:tr w:rsidR="0037763D" w:rsidRPr="00A86912" w:rsidTr="00D86F78">
        <w:trPr>
          <w:trHeight w:val="415"/>
          <w:jc w:val="center"/>
        </w:trPr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16-13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پايين</w:t>
            </w:r>
          </w:p>
        </w:tc>
      </w:tr>
      <w:tr w:rsidR="0037763D" w:rsidRPr="00A86912" w:rsidTr="00D86F78">
        <w:trPr>
          <w:trHeight w:val="401"/>
          <w:jc w:val="center"/>
        </w:trPr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12-9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پايين</w:t>
            </w:r>
          </w:p>
        </w:tc>
      </w:tr>
      <w:tr w:rsidR="0037763D" w:rsidRPr="00A86912" w:rsidTr="00D86F78">
        <w:trPr>
          <w:trHeight w:val="428"/>
          <w:jc w:val="center"/>
        </w:trPr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8-1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بعيد و غير محتمل</w:t>
            </w:r>
          </w:p>
        </w:tc>
      </w:tr>
    </w:tbl>
    <w:p w:rsidR="0037763D" w:rsidRDefault="0037763D" w:rsidP="0037763D">
      <w:pPr>
        <w:rPr>
          <w:rFonts w:eastAsia="Arial Narrow"/>
          <w:sz w:val="22"/>
          <w:rtl/>
        </w:rPr>
      </w:pPr>
    </w:p>
    <w:p w:rsidR="0037763D" w:rsidRDefault="0037763D" w:rsidP="0037763D">
      <w:pPr>
        <w:bidi w:val="0"/>
        <w:spacing w:after="160" w:line="259" w:lineRule="auto"/>
        <w:rPr>
          <w:rFonts w:eastAsia="Arial Narrow"/>
          <w:sz w:val="22"/>
          <w:rtl/>
        </w:rPr>
      </w:pPr>
      <w:r>
        <w:rPr>
          <w:rFonts w:eastAsia="Arial Narrow"/>
          <w:sz w:val="22"/>
          <w:rtl/>
        </w:rPr>
        <w:br w:type="page"/>
      </w:r>
    </w:p>
    <w:p w:rsidR="0037763D" w:rsidRPr="00A86912" w:rsidRDefault="0037763D" w:rsidP="0037763D">
      <w:pPr>
        <w:spacing w:after="0"/>
        <w:jc w:val="center"/>
        <w:rPr>
          <w:sz w:val="22"/>
          <w:rtl/>
        </w:rPr>
      </w:pPr>
      <w:r>
        <w:rPr>
          <w:rFonts w:hint="cs"/>
          <w:b/>
          <w:bCs/>
          <w:sz w:val="22"/>
          <w:rtl/>
        </w:rPr>
        <w:lastRenderedPageBreak/>
        <w:t xml:space="preserve">ج) </w:t>
      </w:r>
      <w:r w:rsidRPr="00A86912">
        <w:rPr>
          <w:rFonts w:hint="cs"/>
          <w:b/>
          <w:bCs/>
          <w:sz w:val="22"/>
          <w:rtl/>
        </w:rPr>
        <w:t>جدول محاسبه امتیاز احتمال كشف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6419"/>
        <w:gridCol w:w="1736"/>
      </w:tblGrid>
      <w:tr w:rsidR="0037763D" w:rsidRPr="00A86912" w:rsidTr="00D86F78">
        <w:trPr>
          <w:trHeight w:val="434"/>
          <w:jc w:val="center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شاخص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شرح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احتمال كشف</w:t>
            </w:r>
          </w:p>
        </w:tc>
      </w:tr>
      <w:tr w:rsidR="0037763D" w:rsidRPr="00A86912" w:rsidTr="00D86F78">
        <w:trPr>
          <w:trHeight w:val="407"/>
          <w:jc w:val="center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10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با استفاده از كنترل ها و دستور العمل هاي موجود غير ممكن است كه بتوان خطر را شناسايي و كنترل كرد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غير ممكن</w:t>
            </w:r>
          </w:p>
        </w:tc>
      </w:tr>
      <w:tr w:rsidR="0037763D" w:rsidRPr="00A86912" w:rsidTr="00D86F78">
        <w:trPr>
          <w:trHeight w:val="394"/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9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با استفاده از كنترل ها و دستور العمل هاي موجود خيلي جزئي، نمي توان خطر را شناسايي و كنترل كرد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خيلي جزئي</w:t>
            </w:r>
          </w:p>
        </w:tc>
      </w:tr>
      <w:tr w:rsidR="0037763D" w:rsidRPr="00A86912" w:rsidTr="00D86F78">
        <w:trPr>
          <w:trHeight w:val="407"/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8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كنترل هاي موجود جزئي مي تواند خطرات را شناسايي و كنترل نمايد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جزئي</w:t>
            </w:r>
          </w:p>
        </w:tc>
      </w:tr>
      <w:tr w:rsidR="0037763D" w:rsidRPr="00A86912" w:rsidTr="00D86F78">
        <w:trPr>
          <w:trHeight w:val="407"/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7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كنترل ها و دستور العمل هاي موجود</w:t>
            </w:r>
            <w:r>
              <w:rPr>
                <w:rFonts w:hint="cs"/>
                <w:sz w:val="22"/>
                <w:rtl/>
              </w:rPr>
              <w:t>،</w:t>
            </w:r>
            <w:r w:rsidRPr="00A86912">
              <w:rPr>
                <w:rFonts w:hint="cs"/>
                <w:sz w:val="22"/>
                <w:rtl/>
              </w:rPr>
              <w:t xml:space="preserve"> در سطوح خيلي پايين مي تواند خطرات را شناسايي و كنترل نمايد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خيلي پايين</w:t>
            </w:r>
          </w:p>
        </w:tc>
      </w:tr>
      <w:tr w:rsidR="0037763D" w:rsidRPr="00A86912" w:rsidTr="00D86F78">
        <w:trPr>
          <w:trHeight w:val="394"/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6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كنترل هاي موجود در سطح پايين مي توانند خطرات را شناسايي و كنترل نمايند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پايين</w:t>
            </w:r>
          </w:p>
        </w:tc>
      </w:tr>
      <w:tr w:rsidR="0037763D" w:rsidRPr="00A86912" w:rsidTr="00D86F78">
        <w:trPr>
          <w:trHeight w:val="407"/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5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كنترل ها و دستور العمل هاي موجود در سطح متوسط مي توانند خطرات را شناسايي و كنترل نمايند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متوسط</w:t>
            </w:r>
          </w:p>
        </w:tc>
      </w:tr>
      <w:tr w:rsidR="0037763D" w:rsidRPr="00A86912" w:rsidTr="00D86F78">
        <w:trPr>
          <w:trHeight w:val="676"/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  <w:rtl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4</w:t>
            </w:r>
          </w:p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3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كنترل ها و دستور العمل هاي موجود در سطح متوسط به بالا و بالا مي توانند خطرات را شناسايي و كنترل نمايند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بالا</w:t>
            </w:r>
          </w:p>
        </w:tc>
      </w:tr>
      <w:tr w:rsidR="0037763D" w:rsidRPr="00A86912" w:rsidTr="00D86F78">
        <w:trPr>
          <w:trHeight w:val="407"/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2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كنترل ها و دستور العمل هاي موجود در سطح خيلي بالايي مي توانند خطرات را شناسايي و كنترل نمايند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خيلي بالا</w:t>
            </w:r>
          </w:p>
        </w:tc>
      </w:tr>
      <w:tr w:rsidR="0037763D" w:rsidRPr="00A86912" w:rsidTr="00D86F78">
        <w:trPr>
          <w:trHeight w:val="813"/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1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 xml:space="preserve">كنترل ها و دستور العمل هاي موجود با اطمينان بالايي مي توانند خطرات را شناسايي و كنترل نمايند و احتياج به دستور العمل و روش جديدي نمي باشد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763D" w:rsidRPr="00A86912" w:rsidRDefault="0037763D" w:rsidP="00D86F78">
            <w:pPr>
              <w:spacing w:after="0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اطمينان بالا</w:t>
            </w:r>
          </w:p>
        </w:tc>
      </w:tr>
    </w:tbl>
    <w:p w:rsidR="0037763D" w:rsidRDefault="0037763D" w:rsidP="0037763D">
      <w:pPr>
        <w:rPr>
          <w:rtl/>
        </w:rPr>
      </w:pPr>
    </w:p>
    <w:p w:rsidR="0037763D" w:rsidRPr="00A86912" w:rsidRDefault="0037763D" w:rsidP="0037763D">
      <w:pPr>
        <w:spacing w:after="0" w:line="240" w:lineRule="auto"/>
        <w:jc w:val="center"/>
        <w:rPr>
          <w:b/>
          <w:bCs/>
          <w:sz w:val="22"/>
          <w:rtl/>
        </w:rPr>
      </w:pPr>
      <w:r w:rsidRPr="00A86912">
        <w:rPr>
          <w:rFonts w:hint="cs"/>
          <w:b/>
          <w:bCs/>
          <w:sz w:val="22"/>
          <w:rtl/>
        </w:rPr>
        <w:t xml:space="preserve">جدول سطح ريسك و اقدامات لازم با توجه به </w:t>
      </w:r>
      <w:r w:rsidRPr="00A86912">
        <w:rPr>
          <w:b/>
          <w:bCs/>
          <w:sz w:val="22"/>
        </w:rPr>
        <w:t>RPN</w:t>
      </w:r>
      <w:r w:rsidRPr="00A86912">
        <w:rPr>
          <w:rFonts w:hint="cs"/>
          <w:b/>
          <w:bCs/>
          <w:sz w:val="22"/>
          <w:rtl/>
        </w:rPr>
        <w:t xml:space="preserve">  و سطح ريسك بدست آمده</w:t>
      </w:r>
    </w:p>
    <w:tbl>
      <w:tblPr>
        <w:tblpPr w:leftFromText="180" w:rightFromText="180" w:vertAnchor="text" w:horzAnchor="margin" w:tblpXSpec="center" w:tblpY="252"/>
        <w:bidiVisual/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372"/>
        <w:gridCol w:w="7230"/>
      </w:tblGrid>
      <w:tr w:rsidR="0037763D" w:rsidRPr="00A86912" w:rsidTr="00D86F78">
        <w:trPr>
          <w:trHeight w:val="395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b/>
                <w:bCs/>
                <w:sz w:val="22"/>
              </w:rPr>
              <w:t>RPN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سطح ريسك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86912">
              <w:rPr>
                <w:rFonts w:hint="cs"/>
                <w:b/>
                <w:bCs/>
                <w:sz w:val="22"/>
                <w:rtl/>
              </w:rPr>
              <w:t>اقدامات لازم</w:t>
            </w:r>
          </w:p>
        </w:tc>
      </w:tr>
      <w:tr w:rsidR="0037763D" w:rsidRPr="00A86912" w:rsidTr="00D86F78">
        <w:trPr>
          <w:trHeight w:val="811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1000-513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غير قابل تحمل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37763D" w:rsidRPr="00A86912" w:rsidRDefault="0037763D" w:rsidP="00D86F78">
            <w:pPr>
              <w:spacing w:after="0" w:line="240" w:lineRule="auto"/>
              <w:jc w:val="both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قبل از كاهش ريسك فعاليت نبايستي شروع شده و يا ادامه يابد و اگر نتوان ريسك را كاهش داد از انجام فعاليت بايد خود داري كرد.</w:t>
            </w:r>
          </w:p>
        </w:tc>
      </w:tr>
      <w:tr w:rsidR="0037763D" w:rsidRPr="00A86912" w:rsidTr="00D86F78">
        <w:trPr>
          <w:trHeight w:val="811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512-217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بالا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:rsidR="0037763D" w:rsidRPr="00A86912" w:rsidRDefault="0037763D" w:rsidP="00D86F78">
            <w:pPr>
              <w:spacing w:after="0" w:line="240" w:lineRule="auto"/>
              <w:jc w:val="both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قبل از كاهش ريسك نبايستي شروع به فعاليت نمود و ممكن است براي كاهش ريسك نياز به منابع قابل ملاحظه اي باشد از اقدامات اضطراري در حين انجام كار استفاده كردد.</w:t>
            </w:r>
          </w:p>
        </w:tc>
      </w:tr>
      <w:tr w:rsidR="0037763D" w:rsidRPr="00A86912" w:rsidTr="00D86F78">
        <w:trPr>
          <w:trHeight w:val="1224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216-125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متوسط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37763D" w:rsidRPr="00A86912" w:rsidRDefault="0037763D" w:rsidP="00D86F78">
            <w:pPr>
              <w:spacing w:after="0" w:line="240" w:lineRule="auto"/>
              <w:jc w:val="both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تلاش ها بايد در جهت كاهش ريسك باشد اما هزينه ها بايد به شدت اندازه گيري شده و محدود شوند اقدامات كاهنده ريسك بايد در فواصل زماني مشخص شده اعمال گردد</w:t>
            </w:r>
            <w:r>
              <w:rPr>
                <w:rFonts w:hint="cs"/>
                <w:sz w:val="22"/>
                <w:rtl/>
              </w:rPr>
              <w:t>.</w:t>
            </w:r>
            <w:r w:rsidRPr="00A86912">
              <w:rPr>
                <w:rFonts w:hint="cs"/>
                <w:sz w:val="22"/>
                <w:rtl/>
              </w:rPr>
              <w:t xml:space="preserve"> زماني كه اين نوع ريسك همراه با عواقب شديد باشد ارزيابي بعدي صورت گيرد تا اقدامات كنترلي مورد نياز شناسايي شده و انجام گيرد</w:t>
            </w:r>
            <w:r>
              <w:rPr>
                <w:rFonts w:hint="cs"/>
                <w:sz w:val="22"/>
                <w:rtl/>
              </w:rPr>
              <w:t>.</w:t>
            </w:r>
            <w:r w:rsidRPr="00A86912">
              <w:rPr>
                <w:rFonts w:hint="cs"/>
                <w:sz w:val="22"/>
                <w:rtl/>
              </w:rPr>
              <w:t xml:space="preserve"> </w:t>
            </w:r>
          </w:p>
        </w:tc>
      </w:tr>
      <w:tr w:rsidR="0037763D" w:rsidRPr="00A86912" w:rsidTr="00D86F78">
        <w:trPr>
          <w:trHeight w:val="811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124-28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قابل تحمل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:rsidR="0037763D" w:rsidRPr="00A86912" w:rsidRDefault="0037763D" w:rsidP="00D86F78">
            <w:pPr>
              <w:spacing w:after="0" w:line="240" w:lineRule="auto"/>
              <w:jc w:val="both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اقدامات بيشتري مورد نياز نيست ممكن است راه حل ها يا بهبودهايي كه هزينه كمتري داشته باشند مورد ملاحظه قرار بگيرند و براي حصول اطمينان از برقراري و حفظ كنترل هاي موجود نياز به پايش وجود دارد.</w:t>
            </w:r>
          </w:p>
        </w:tc>
      </w:tr>
      <w:tr w:rsidR="0037763D" w:rsidRPr="00A86912" w:rsidTr="00D86F78">
        <w:trPr>
          <w:trHeight w:val="413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27-1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7763D" w:rsidRPr="00A86912" w:rsidRDefault="0037763D" w:rsidP="00D86F78">
            <w:pPr>
              <w:spacing w:after="0" w:line="240" w:lineRule="auto"/>
              <w:jc w:val="center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جزئي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hideMark/>
          </w:tcPr>
          <w:p w:rsidR="0037763D" w:rsidRPr="00A86912" w:rsidRDefault="0037763D" w:rsidP="00D86F78">
            <w:pPr>
              <w:spacing w:after="0" w:line="240" w:lineRule="auto"/>
              <w:jc w:val="both"/>
              <w:rPr>
                <w:sz w:val="22"/>
              </w:rPr>
            </w:pPr>
            <w:r w:rsidRPr="00A86912">
              <w:rPr>
                <w:rFonts w:hint="cs"/>
                <w:sz w:val="22"/>
                <w:rtl/>
              </w:rPr>
              <w:t>نيازي به اقدام و داشتن سوابق مدون وجود ندارد.</w:t>
            </w:r>
          </w:p>
        </w:tc>
      </w:tr>
    </w:tbl>
    <w:p w:rsidR="0037763D" w:rsidRDefault="0037763D" w:rsidP="0037763D">
      <w:pPr>
        <w:rPr>
          <w:rtl/>
        </w:rPr>
      </w:pPr>
    </w:p>
    <w:sectPr w:rsidR="0037763D" w:rsidSect="00D65D48">
      <w:headerReference w:type="default" r:id="rId7"/>
      <w:pgSz w:w="11906" w:h="16838"/>
      <w:pgMar w:top="1491" w:right="1440" w:bottom="1440" w:left="144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06" w:rsidRDefault="00742E06" w:rsidP="000B2D24">
      <w:pPr>
        <w:spacing w:after="0" w:line="240" w:lineRule="auto"/>
      </w:pPr>
      <w:r>
        <w:separator/>
      </w:r>
    </w:p>
  </w:endnote>
  <w:endnote w:type="continuationSeparator" w:id="0">
    <w:p w:rsidR="00742E06" w:rsidRDefault="00742E06" w:rsidP="000B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06" w:rsidRDefault="00742E06" w:rsidP="000B2D24">
      <w:pPr>
        <w:spacing w:after="0" w:line="240" w:lineRule="auto"/>
      </w:pPr>
      <w:r>
        <w:separator/>
      </w:r>
    </w:p>
  </w:footnote>
  <w:footnote w:type="continuationSeparator" w:id="0">
    <w:p w:rsidR="00742E06" w:rsidRDefault="00742E06" w:rsidP="000B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48" w:rsidRDefault="00D65D48" w:rsidP="00D65D48">
    <w:pPr>
      <w:pStyle w:val="Header"/>
      <w:jc w:val="center"/>
      <w:rPr>
        <w:b/>
        <w:bCs/>
        <w:rtl/>
      </w:rPr>
    </w:pPr>
    <w:r w:rsidRPr="00D65D48">
      <w:rPr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4407535</wp:posOffset>
          </wp:positionH>
          <wp:positionV relativeFrom="paragraph">
            <wp:posOffset>-15971</wp:posOffset>
          </wp:positionV>
          <wp:extent cx="1328593" cy="386421"/>
          <wp:effectExtent l="0" t="0" r="5080" b="0"/>
          <wp:wrapNone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E Academy-logo 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593" cy="386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0"/>
        <w:szCs w:val="20"/>
      </w:rPr>
      <w:t xml:space="preserve"> </w:t>
    </w:r>
    <w:r>
      <w:rPr>
        <w:rFonts w:hint="cs"/>
        <w:b/>
        <w:bCs/>
        <w:sz w:val="20"/>
        <w:szCs w:val="20"/>
        <w:rtl/>
      </w:rPr>
      <w:t xml:space="preserve">        </w:t>
    </w:r>
    <w:r w:rsidRPr="00D65D48">
      <w:rPr>
        <w:rFonts w:hint="cs"/>
        <w:b/>
        <w:bCs/>
        <w:sz w:val="22"/>
        <w:szCs w:val="22"/>
        <w:rtl/>
      </w:rPr>
      <w:t>مرجع مقالات و مطالب تخصصی ایمنی بهداشت و محیط زیست</w:t>
    </w:r>
    <w:r w:rsidRPr="00D65D48">
      <w:rPr>
        <w:rFonts w:hint="cs"/>
        <w:b/>
        <w:bCs/>
        <w:sz w:val="28"/>
        <w:szCs w:val="28"/>
        <w:rtl/>
      </w:rPr>
      <w:t xml:space="preserve"> </w:t>
    </w:r>
  </w:p>
  <w:p w:rsidR="00D65D48" w:rsidRPr="00D65D48" w:rsidRDefault="00D65D48" w:rsidP="00D65D48">
    <w:pPr>
      <w:pStyle w:val="Header"/>
      <w:jc w:val="center"/>
      <w:rPr>
        <w:rFonts w:hint="cs"/>
        <w:b/>
        <w:bCs/>
        <w:rtl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262950</wp:posOffset>
              </wp:positionV>
              <wp:extent cx="5874589" cy="0"/>
              <wp:effectExtent l="0" t="0" r="3111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4589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AADE68"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20.7pt" to="457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" strokecolor="black [3200]" strokeweight="1pt">
              <v:stroke joinstyle="miter"/>
            </v:line>
          </w:pict>
        </mc:Fallback>
      </mc:AlternateContent>
    </w:r>
    <w:hyperlink r:id="rId3" w:history="1">
      <w:r w:rsidRPr="00D22B46">
        <w:rPr>
          <w:rStyle w:val="Hyperlink"/>
          <w:b/>
          <w:bCs/>
        </w:rPr>
        <w:t xml:space="preserve">https://hsefans.ir </w:t>
      </w:r>
    </w:hyperlink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EE7"/>
    <w:multiLevelType w:val="hybridMultilevel"/>
    <w:tmpl w:val="48F08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C1"/>
    <w:rsid w:val="000B2D24"/>
    <w:rsid w:val="000E17C1"/>
    <w:rsid w:val="00196AB1"/>
    <w:rsid w:val="00333A33"/>
    <w:rsid w:val="0037763D"/>
    <w:rsid w:val="00563DD5"/>
    <w:rsid w:val="00611DD1"/>
    <w:rsid w:val="00742E06"/>
    <w:rsid w:val="00795513"/>
    <w:rsid w:val="008A38D9"/>
    <w:rsid w:val="008D0B74"/>
    <w:rsid w:val="008D3A93"/>
    <w:rsid w:val="00BE2C5D"/>
    <w:rsid w:val="00D22B46"/>
    <w:rsid w:val="00D65D48"/>
    <w:rsid w:val="00D824F9"/>
    <w:rsid w:val="00DC0F6F"/>
    <w:rsid w:val="00F3588C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681E7"/>
  <w15:chartTrackingRefBased/>
  <w15:docId w15:val="{B0AC9C2C-18DB-4524-A857-9926800B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6F"/>
    <w:pPr>
      <w:bidi/>
      <w:spacing w:after="200" w:line="276" w:lineRule="auto"/>
    </w:pPr>
    <w:rPr>
      <w:rFonts w:ascii="Calibri" w:hAnsi="Calibri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88C"/>
    <w:pPr>
      <w:spacing w:after="0" w:line="240" w:lineRule="auto"/>
      <w:ind w:left="720" w:firstLine="340"/>
      <w:contextualSpacing/>
      <w:jc w:val="both"/>
    </w:pPr>
    <w:rPr>
      <w:rFonts w:ascii="Times New Roman" w:eastAsia="Times New Roman" w:hAnsi="Times New Roman" w:cs="Lotus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B2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24"/>
    <w:rPr>
      <w:rFonts w:ascii="Calibri" w:hAnsi="Calibri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24"/>
    <w:rPr>
      <w:rFonts w:ascii="Calibri" w:hAnsi="Calibri" w:cs="B Nazani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5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hsefans.ir/lm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instagram.com/hsef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Mohi.R</cp:lastModifiedBy>
  <cp:revision>9</cp:revision>
  <dcterms:created xsi:type="dcterms:W3CDTF">2020-05-14T07:51:00Z</dcterms:created>
  <dcterms:modified xsi:type="dcterms:W3CDTF">2022-08-13T16:10:00Z</dcterms:modified>
</cp:coreProperties>
</file>